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line="546" w:lineRule="exact"/>
        <w:ind w:right="0"/>
        <w:jc w:val="center"/>
        <w:rPr>
          <w:rFonts w:hint="eastAsia" w:ascii="方正小标宋简体" w:eastAsia="方正小标宋简体"/>
          <w:b w:val="0"/>
          <w:bCs/>
          <w:sz w:val="32"/>
          <w:szCs w:val="32"/>
          <w:lang w:val="en-US" w:eastAsia="zh-CN"/>
        </w:rPr>
      </w:pPr>
      <w:r>
        <w:rPr>
          <w:rFonts w:hint="eastAsia" w:ascii="方正小标宋简体" w:eastAsia="方正小标宋简体"/>
          <w:b w:val="0"/>
          <w:bCs/>
          <w:sz w:val="32"/>
          <w:szCs w:val="32"/>
          <w:lang w:val="en-US" w:eastAsia="zh-CN"/>
        </w:rPr>
        <w:t>北京博导前程信息技术股份有限公司</w:t>
      </w:r>
    </w:p>
    <w:p>
      <w:pPr>
        <w:spacing w:before="0" w:line="546" w:lineRule="exact"/>
        <w:ind w:right="0"/>
        <w:jc w:val="center"/>
        <w:rPr>
          <w:rFonts w:hint="eastAsia" w:ascii="方正小标宋简体" w:eastAsia="方正小标宋简体"/>
          <w:b w:val="0"/>
          <w:bCs/>
          <w:sz w:val="32"/>
          <w:szCs w:val="32"/>
        </w:rPr>
      </w:pPr>
      <w:r>
        <w:rPr>
          <w:rFonts w:hint="eastAsia" w:ascii="方正小标宋简体" w:eastAsia="方正小标宋简体"/>
          <w:b w:val="0"/>
          <w:bCs/>
          <w:sz w:val="32"/>
          <w:szCs w:val="32"/>
        </w:rPr>
        <w:t>电子商务数据分析</w:t>
      </w:r>
      <w:r>
        <w:rPr>
          <w:rFonts w:hint="eastAsia" w:ascii="方正小标宋简体" w:eastAsia="方正小标宋简体"/>
          <w:b w:val="0"/>
          <w:bCs/>
          <w:sz w:val="32"/>
          <w:szCs w:val="32"/>
          <w:lang w:eastAsia="zh-CN"/>
        </w:rPr>
        <w:t>、</w:t>
      </w:r>
      <w:r>
        <w:rPr>
          <w:rFonts w:hint="eastAsia" w:ascii="方正小标宋简体" w:eastAsia="方正小标宋简体"/>
          <w:b w:val="0"/>
          <w:bCs/>
          <w:sz w:val="32"/>
          <w:szCs w:val="32"/>
          <w:lang w:val="en-US" w:eastAsia="zh-CN"/>
        </w:rPr>
        <w:t>农产品电商运营1+X证书</w:t>
      </w:r>
      <w:r>
        <w:rPr>
          <w:rFonts w:hint="eastAsia" w:ascii="方正小标宋简体" w:eastAsia="方正小标宋简体"/>
          <w:b w:val="0"/>
          <w:bCs/>
          <w:sz w:val="32"/>
          <w:szCs w:val="32"/>
        </w:rPr>
        <w:t>考试报名操作指引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bCs/>
          <w:sz w:val="24"/>
          <w:szCs w:val="24"/>
        </w:rPr>
        <w:t>【</w:t>
      </w:r>
      <w:r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  <w:t>报考须知</w:t>
      </w:r>
      <w:r>
        <w:rPr>
          <w:rFonts w:hint="eastAsia" w:ascii="仿宋_GB2312" w:hAnsi="仿宋_GB2312" w:eastAsia="仿宋_GB2312" w:cs="仿宋_GB2312"/>
          <w:b/>
          <w:bCs/>
          <w:sz w:val="24"/>
          <w:szCs w:val="24"/>
        </w:rPr>
        <w:t>】：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试点院校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首先</w:t>
      </w:r>
      <w:r>
        <w:rPr>
          <w:rFonts w:hint="eastAsia" w:ascii="仿宋_GB2312" w:hAnsi="仿宋_GB2312" w:eastAsia="仿宋_GB2312" w:cs="仿宋_GB2312"/>
          <w:sz w:val="24"/>
          <w:szCs w:val="24"/>
        </w:rPr>
        <w:t>登录</w:t>
      </w:r>
      <w:r>
        <w:rPr>
          <w:rFonts w:hint="eastAsia" w:ascii="仿宋_GB2312" w:hAnsi="仿宋_GB2312" w:eastAsia="仿宋_GB2312" w:cs="仿宋_GB2312"/>
          <w:b/>
          <w:bCs/>
          <w:sz w:val="24"/>
          <w:szCs w:val="24"/>
        </w:rPr>
        <w:t>教育部 X 证书平台-试点院校业务平台</w:t>
      </w:r>
      <w:r>
        <w:rPr>
          <w:rFonts w:hint="eastAsia" w:ascii="仿宋_GB2312" w:hAnsi="仿宋_GB2312" w:eastAsia="仿宋_GB2312" w:cs="仿宋_GB2312"/>
          <w:sz w:val="24"/>
          <w:szCs w:val="24"/>
        </w:rPr>
        <w:t>，首先在“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考务</w:t>
      </w:r>
      <w:r>
        <w:rPr>
          <w:rFonts w:hint="eastAsia" w:ascii="仿宋_GB2312" w:hAnsi="仿宋_GB2312" w:eastAsia="仿宋_GB2312" w:cs="仿宋_GB2312"/>
          <w:sz w:val="24"/>
          <w:szCs w:val="24"/>
        </w:rPr>
        <w:t>管理-考试计划”栏目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查看电子商务数据分析职业技能等级证书、农产品电商运营职业技能等级证书对应</w:t>
      </w:r>
      <w:r>
        <w:rPr>
          <w:rFonts w:hint="default" w:ascii="仿宋_GB2312" w:hAnsi="仿宋_GB2312" w:eastAsia="仿宋_GB2312" w:cs="仿宋_GB2312"/>
          <w:sz w:val="24"/>
          <w:szCs w:val="24"/>
          <w:lang w:eastAsia="zh-CN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</w:t>
      </w:r>
      <w:r>
        <w:rPr>
          <w:rFonts w:hint="eastAsia" w:ascii="仿宋_GB2312" w:hAnsi="仿宋_GB2312" w:eastAsia="仿宋_GB2312" w:cs="仿宋_GB2312"/>
          <w:sz w:val="24"/>
          <w:szCs w:val="24"/>
        </w:rPr>
        <w:t>试计划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详情</w:t>
      </w:r>
      <w:r>
        <w:rPr>
          <w:rFonts w:hint="eastAsia" w:ascii="仿宋_GB2312" w:hAnsi="仿宋_GB2312" w:eastAsia="仿宋_GB2312" w:cs="仿宋_GB2312"/>
          <w:sz w:val="24"/>
          <w:szCs w:val="24"/>
        </w:rPr>
        <w:t>，了解考试组织时间安排、要求等，根据计划要求完成相关的考试组织工作。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6188075" cy="2465705"/>
            <wp:effectExtent l="0" t="0" r="3175" b="1079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8075" cy="246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试点院校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应在</w:t>
      </w:r>
      <w:r>
        <w:rPr>
          <w:rFonts w:hint="eastAsia" w:ascii="仿宋_GB2312" w:hAnsi="仿宋_GB2312" w:eastAsia="仿宋_GB2312" w:cs="仿宋_GB2312"/>
          <w:sz w:val="24"/>
          <w:szCs w:val="24"/>
        </w:rPr>
        <w:t>考试计划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的考试安排</w:t>
      </w:r>
      <w:r>
        <w:rPr>
          <w:rFonts w:hint="eastAsia" w:ascii="仿宋_GB2312" w:hAnsi="仿宋_GB2312" w:eastAsia="仿宋_GB2312" w:cs="仿宋_GB2312"/>
          <w:sz w:val="24"/>
          <w:szCs w:val="24"/>
        </w:rPr>
        <w:t>时间范围内，完成考点申报、考生信息录入、为学生报名及缴费、考场设置、监考人员设置及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信息</w:t>
      </w:r>
      <w:r>
        <w:rPr>
          <w:rFonts w:hint="eastAsia" w:ascii="仿宋_GB2312" w:hAnsi="仿宋_GB2312" w:eastAsia="仿宋_GB2312" w:cs="仿宋_GB2312"/>
          <w:sz w:val="24"/>
          <w:szCs w:val="24"/>
        </w:rPr>
        <w:t>上报、打印考试物料及布置考场等工作。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12" w:lineRule="auto"/>
        <w:ind w:firstLine="562" w:firstLineChars="200"/>
        <w:textAlignment w:val="auto"/>
        <w:outlineLvl w:val="0"/>
        <w:rPr>
          <w:rFonts w:hint="default" w:ascii="黑体" w:hAnsi="黑体" w:eastAsia="黑体" w:cs="黑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  <w:t>第一步：申报考核站点</w:t>
      </w:r>
      <w:r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  <w:t>（只有成为考点才能在本校组织考试）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考务</w:t>
      </w:r>
      <w:r>
        <w:rPr>
          <w:rFonts w:hint="eastAsia" w:ascii="仿宋_GB2312" w:hAnsi="仿宋_GB2312" w:eastAsia="仿宋_GB2312" w:cs="仿宋_GB2312"/>
          <w:sz w:val="24"/>
          <w:szCs w:val="24"/>
        </w:rPr>
        <w:t>管理-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考核站点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栏目，参照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教育部X证书平台</w:t>
      </w:r>
      <w:r>
        <w:rPr>
          <w:rFonts w:hint="eastAsia" w:ascii="仿宋_GB2312" w:hAnsi="仿宋_GB2312" w:eastAsia="仿宋_GB2312" w:cs="仿宋_GB2312"/>
          <w:sz w:val="24"/>
          <w:szCs w:val="24"/>
        </w:rPr>
        <w:t>操作手册和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我司</w:t>
      </w:r>
      <w:r>
        <w:rPr>
          <w:rFonts w:hint="eastAsia" w:ascii="仿宋_GB2312" w:hAnsi="仿宋_GB2312" w:eastAsia="仿宋_GB2312" w:cs="仿宋_GB2312"/>
          <w:sz w:val="24"/>
          <w:szCs w:val="24"/>
        </w:rPr>
        <w:t>发布考点申报要求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电子商务数据分析</w:t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lang w:eastAsia="zh-CN"/>
        </w:rPr>
        <w:fldChar w:fldCharType="begin"/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lang w:eastAsia="zh-CN"/>
        </w:rPr>
        <w:instrText xml:space="preserve"> HYPERLINK "http://x.ibodao.com/notices/43" </w:instrText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lang w:eastAsia="zh-CN"/>
        </w:rPr>
        <w:fldChar w:fldCharType="separate"/>
      </w:r>
      <w:r>
        <w:rPr>
          <w:rStyle w:val="10"/>
          <w:rFonts w:hint="eastAsia" w:ascii="仿宋_GB2312" w:hAnsi="仿宋_GB2312" w:eastAsia="仿宋_GB2312" w:cs="仿宋_GB2312"/>
          <w:b w:val="0"/>
          <w:bCs w:val="0"/>
          <w:sz w:val="24"/>
          <w:szCs w:val="24"/>
          <w:lang w:eastAsia="zh-CN"/>
        </w:rPr>
        <w:t>http://x.ibodao.com/notices/43</w:t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lang w:eastAsia="zh-CN"/>
        </w:rPr>
        <w:fldChar w:fldCharType="end"/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u w:val="none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u w:val="none"/>
          <w:lang w:val="en-US" w:eastAsia="zh-CN"/>
        </w:rPr>
        <w:t>农产品电商运营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u w:val="none"/>
          <w:lang w:eastAsia="zh-CN"/>
        </w:rPr>
        <w:fldChar w:fldCharType="begin"/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u w:val="none"/>
          <w:lang w:eastAsia="zh-CN"/>
        </w:rPr>
        <w:instrText xml:space="preserve"> HYPERLINK "http://x.ibodao.com/notices/86" </w:instrTex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u w:val="none"/>
          <w:lang w:eastAsia="zh-CN"/>
        </w:rPr>
        <w:fldChar w:fldCharType="separate"/>
      </w:r>
      <w:r>
        <w:rPr>
          <w:rStyle w:val="11"/>
          <w:rFonts w:hint="eastAsia" w:ascii="仿宋_GB2312" w:hAnsi="仿宋_GB2312" w:eastAsia="仿宋_GB2312" w:cs="仿宋_GB2312"/>
          <w:b w:val="0"/>
          <w:bCs w:val="0"/>
          <w:sz w:val="24"/>
          <w:szCs w:val="24"/>
          <w:lang w:eastAsia="zh-CN"/>
        </w:rPr>
        <w:t>http://x.ibodao.com/notices/86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u w:val="none"/>
          <w:lang w:eastAsia="zh-CN"/>
        </w:rPr>
        <w:fldChar w:fldCharType="end"/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，提交相关申报材料。如已经是考点了，可忽略此步骤。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6188075" cy="2257425"/>
            <wp:effectExtent l="0" t="0" r="3175" b="952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807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/>
        <w:textAlignment w:val="auto"/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注意事项：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考点申报时间持续进行，每天都会由专人审核确认。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12" w:lineRule="auto"/>
        <w:ind w:firstLine="562" w:firstLineChars="200"/>
        <w:textAlignment w:val="auto"/>
        <w:outlineLvl w:val="0"/>
        <w:rPr>
          <w:rFonts w:hint="eastAsia" w:ascii="黑体" w:hAnsi="黑体" w:eastAsia="黑体" w:cs="黑体"/>
          <w:b w:val="0"/>
          <w:bCs w:val="0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  <w:t>第二步：录入</w:t>
      </w:r>
      <w:r>
        <w:rPr>
          <w:rFonts w:hint="eastAsia" w:ascii="黑体" w:hAnsi="黑体" w:eastAsia="黑体" w:cs="黑体"/>
          <w:b/>
          <w:bCs/>
          <w:sz w:val="28"/>
          <w:szCs w:val="28"/>
        </w:rPr>
        <w:t>考生信息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考务</w:t>
      </w:r>
      <w:r>
        <w:rPr>
          <w:rFonts w:hint="eastAsia" w:ascii="仿宋_GB2312" w:hAnsi="仿宋_GB2312" w:eastAsia="仿宋_GB2312" w:cs="仿宋_GB2312"/>
          <w:sz w:val="24"/>
          <w:szCs w:val="24"/>
        </w:rPr>
        <w:t>管理-考生管理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栏目，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先点选“批量导入”下拉按钮，选择“导入学生信息”下载导入考生信息模板表格，按照模板提示信息填写学生基本信息，然后批量导入学生信息。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eastAsia="zh-CN"/>
        </w:rPr>
      </w:pPr>
      <w:r>
        <w:drawing>
          <wp:inline distT="0" distB="0" distL="114300" distR="114300">
            <wp:extent cx="6178550" cy="2658110"/>
            <wp:effectExtent l="0" t="0" r="12700" b="889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78550" cy="265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eastAsia="zh-CN"/>
        </w:rPr>
      </w:pPr>
      <w:r>
        <w:drawing>
          <wp:inline distT="0" distB="0" distL="114300" distR="114300">
            <wp:extent cx="2221230" cy="1729740"/>
            <wp:effectExtent l="0" t="0" r="7620" b="381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21230" cy="172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65215" cy="1847215"/>
            <wp:effectExtent l="0" t="0" r="6985" b="635"/>
            <wp:docPr id="22" name="图片 22" descr="164984260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649842603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65215" cy="184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object>
          <v:shape id="_x0000_i1025" o:spt="75" type="#_x0000_t75" style="height:77.25pt;width:85.15pt;" o:ole="t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  <o:OLEObject Type="Embed" ProgID="Excel.Sheet.12" ShapeID="_x0000_i1025" DrawAspect="Icon" ObjectID="_1468075725" r:id="rId10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然后在“批量导入”下拉按钮，选择“上传学生照片”批量上传学生照片信息，</w:t>
      </w:r>
      <w:r>
        <w:rPr>
          <w:rFonts w:hint="eastAsia" w:ascii="仿宋_GB2312" w:hAnsi="仿宋_GB2312" w:eastAsia="仿宋_GB2312" w:cs="仿宋_GB2312"/>
          <w:sz w:val="24"/>
          <w:szCs w:val="24"/>
        </w:rPr>
        <w:t>考生照片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尺寸、命名和压缩包格式以平台操作手册要求为准</w:t>
      </w:r>
      <w:r>
        <w:rPr>
          <w:rFonts w:hint="eastAsia" w:ascii="仿宋_GB2312" w:hAnsi="仿宋_GB2312" w:eastAsia="仿宋_GB2312" w:cs="仿宋_GB2312"/>
          <w:sz w:val="24"/>
          <w:szCs w:val="24"/>
        </w:rPr>
        <w:t>，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后期证书制作及学分银行都会使用</w:t>
      </w:r>
      <w:r>
        <w:rPr>
          <w:rFonts w:hint="eastAsia" w:ascii="仿宋_GB2312" w:hAnsi="仿宋_GB2312" w:eastAsia="仿宋_GB2312" w:cs="仿宋_GB2312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drawing>
          <wp:inline distT="0" distB="0" distL="114300" distR="114300">
            <wp:extent cx="2690495" cy="2330450"/>
            <wp:effectExtent l="0" t="0" r="14605" b="12700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90495" cy="233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</w:rPr>
        <w:t xml:space="preserve">导入照片的格式要求如下：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请先将学生的标准小 1 寸照片命名为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每名学生的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“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18位身份证号码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.jpg”，再压缩打包成".zip"格式的压缩文件后进行批量导入。学生照片标准请参照下列要求准备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1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.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 xml:space="preserve">照片格式：jpg、png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2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.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照片大小：5M 以内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3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.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照片像素：295*413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 xml:space="preserve">  （上传照片以像素为准）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4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.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照片尺寸：2.7cm x 3.8cm（宽*长），标准小一寸照片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。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个别小一寸照片有尺寸的稍微差别，这个可以忽略，只要是小一寸照片即可。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5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.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照片底色：红色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注意事项（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容易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疑问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地方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1.本校考生管理页面：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省厅批复的本年度试点专业考生信息录入。考生所属专业类型须与省厅批复的专业类型相符，且全年累计报考人数不能超过试点批复考生规模。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2.社会考生管理页面：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 xml:space="preserve">非本年度内试点专业考生 </w:t>
      </w: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或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 xml:space="preserve"> 超出了试点专业考生规模，</w:t>
      </w: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亦或是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非试点院校考生及其他社会考生，均在此页面导入基本信息和照片。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校对提醒：导入考生信息须确保“信息准确”状态！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840" w:leftChars="0" w:hanging="420" w:firstLineChars="0"/>
        <w:textAlignment w:val="auto"/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认证考生信息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院校在批量导入学生基本信息后，该学生信息状态为“无照片”状态。在批量导入学生照片后，该学生信息会进入“信息待认证”状态。点击“认证”或“批量认证”按钮后，等待进行公安系统照片比对，若比对成功，该学生信息变为“信息准确”状态，若对比失败，该学生信息变为“需人工确认”状态，需要走人工确认流程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840" w:leftChars="0" w:hanging="420" w:firstLineChars="0"/>
        <w:textAlignment w:val="auto"/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人工确认考生信息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认证失败的考生信息需要点击“人工确认”按钮，确认学生信息是否准确，确认之后，学生信息为“信息准确”状态。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12" w:lineRule="auto"/>
        <w:ind w:firstLine="562" w:firstLineChars="200"/>
        <w:textAlignment w:val="auto"/>
        <w:outlineLvl w:val="0"/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  <w:t>第三步：为学生报考</w:t>
      </w:r>
      <w:r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  <w:t>（为学生报考操作）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考务</w:t>
      </w:r>
      <w:r>
        <w:rPr>
          <w:rFonts w:hint="eastAsia" w:ascii="仿宋_GB2312" w:hAnsi="仿宋_GB2312" w:eastAsia="仿宋_GB2312" w:cs="仿宋_GB2312"/>
          <w:sz w:val="24"/>
          <w:szCs w:val="24"/>
        </w:rPr>
        <w:t>管理-报考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管理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栏目，为学生集中报名（前提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是</w:t>
      </w:r>
      <w:r>
        <w:rPr>
          <w:rFonts w:hint="eastAsia" w:ascii="仿宋_GB2312" w:hAnsi="仿宋_GB2312" w:eastAsia="仿宋_GB2312" w:cs="仿宋_GB2312"/>
          <w:sz w:val="24"/>
          <w:szCs w:val="24"/>
        </w:rPr>
        <w:t>这些学生已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录入</w:t>
      </w:r>
      <w:r>
        <w:rPr>
          <w:rFonts w:hint="eastAsia" w:ascii="仿宋_GB2312" w:hAnsi="仿宋_GB2312" w:eastAsia="仿宋_GB2312" w:cs="仿宋_GB2312"/>
          <w:sz w:val="24"/>
          <w:szCs w:val="24"/>
        </w:rPr>
        <w:t>基本信息和照片）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。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先点选“批量导入报考”下拉按钮，选择“按证书导入”下载模板表格</w:t>
      </w:r>
      <w:r>
        <w:rPr>
          <w:rFonts w:hint="eastAsia" w:ascii="仿宋_GB2312" w:hAnsi="仿宋_GB2312" w:eastAsia="仿宋_GB2312" w:cs="仿宋_GB2312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eastAsia="zh-CN"/>
        </w:rPr>
      </w:pPr>
      <w:r>
        <w:drawing>
          <wp:inline distT="0" distB="0" distL="114300" distR="114300">
            <wp:extent cx="6180455" cy="2235835"/>
            <wp:effectExtent l="0" t="0" r="10795" b="1206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23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eastAsia="zh-CN"/>
        </w:rPr>
      </w:pPr>
      <w:r>
        <w:drawing>
          <wp:inline distT="0" distB="0" distL="114300" distR="114300">
            <wp:extent cx="2353310" cy="2061845"/>
            <wp:effectExtent l="0" t="0" r="8890" b="1460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53310" cy="206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eastAsia="zh-CN"/>
        </w:rPr>
      </w:pPr>
      <w:r>
        <w:drawing>
          <wp:inline distT="0" distB="0" distL="114300" distR="114300">
            <wp:extent cx="6179820" cy="1742440"/>
            <wp:effectExtent l="0" t="0" r="11430" b="10160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174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eastAsia="zh-CN"/>
        </w:rPr>
        <w:object>
          <v:shape id="_x0000_i1026" o:spt="75" type="#_x0000_t75" style="height:80.4pt;width:88.6pt;" o:ole="t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  <w10:wrap type="none"/>
            <w10:anchorlock/>
          </v:shape>
          <o:OLEObject Type="Embed" ProgID="Excel.Sheet.12" ShapeID="_x0000_i1026" DrawAspect="Icon" ObjectID="_1468075726" r:id="rId16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注意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事项（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容易出错地方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）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val="en-US" w:eastAsia="zh-CN"/>
        </w:rPr>
        <w:t>1.选择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</w:rPr>
        <w:t>按证书批量导入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</w:rPr>
        <w:t>报考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val="en-US" w:eastAsia="zh-CN"/>
        </w:rPr>
        <w:t>模板。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</w:rPr>
        <w:t>导入模板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val="en-US" w:eastAsia="zh-CN"/>
        </w:rPr>
        <w:t>表格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</w:rPr>
        <w:t>中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val="en-US" w:eastAsia="zh-CN"/>
        </w:rPr>
        <w:t>数据规范叫法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考核站点名称：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在平台“考务管理-考核站点”栏目中查看考点名称。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考试计划名称：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在平台“考务管理-考试计划”栏目查看所属证书各考试计划名称。例如：电子商务数据分析2023年5月26日考试、农产品电商运营2023年5月19日考试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证书名称：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电子商务数据分析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职业技能等级证书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、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农产品电商运营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职业技能等级证书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证书编码：</w:t>
      </w:r>
    </w:p>
    <w:tbl>
      <w:tblPr>
        <w:tblStyle w:val="7"/>
        <w:tblW w:w="7486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0"/>
        <w:gridCol w:w="3795"/>
        <w:gridCol w:w="156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0" w:hRule="atLeast"/>
          <w:jc w:val="center"/>
        </w:trPr>
        <w:tc>
          <w:tcPr>
            <w:tcW w:w="21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C0C0C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Style w:val="12"/>
                <w:rFonts w:hint="eastAsia" w:ascii="仿宋_GB2312" w:hAnsi="仿宋_GB2312" w:eastAsia="仿宋_GB2312" w:cs="仿宋_GB2312"/>
                <w:sz w:val="21"/>
                <w:szCs w:val="21"/>
                <w:lang w:val="en-US" w:eastAsia="zh-CN" w:bidi="ar"/>
              </w:rPr>
              <w:t>*</w:t>
            </w:r>
            <w:r>
              <w:rPr>
                <w:rStyle w:val="13"/>
                <w:rFonts w:hint="eastAsia" w:ascii="仿宋_GB2312" w:hAnsi="仿宋_GB2312" w:eastAsia="仿宋_GB2312" w:cs="仿宋_GB2312"/>
                <w:sz w:val="21"/>
                <w:szCs w:val="21"/>
                <w:lang w:val="en-US" w:eastAsia="zh-CN" w:bidi="ar"/>
              </w:rPr>
              <w:t>证书编号</w:t>
            </w:r>
          </w:p>
        </w:tc>
        <w:tc>
          <w:tcPr>
            <w:tcW w:w="37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C0C0C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FF0000"/>
                <w:sz w:val="21"/>
                <w:szCs w:val="21"/>
                <w:u w:val="none"/>
              </w:rPr>
            </w:pPr>
            <w:r>
              <w:rPr>
                <w:rStyle w:val="12"/>
                <w:rFonts w:hint="eastAsia" w:ascii="仿宋_GB2312" w:hAnsi="仿宋_GB2312" w:eastAsia="仿宋_GB2312" w:cs="仿宋_GB2312"/>
                <w:sz w:val="21"/>
                <w:szCs w:val="21"/>
                <w:lang w:val="en-US" w:eastAsia="zh-CN" w:bidi="ar"/>
              </w:rPr>
              <w:t>*</w:t>
            </w:r>
            <w:r>
              <w:rPr>
                <w:rStyle w:val="13"/>
                <w:rFonts w:hint="eastAsia" w:ascii="仿宋_GB2312" w:hAnsi="仿宋_GB2312" w:eastAsia="仿宋_GB2312" w:cs="仿宋_GB2312"/>
                <w:sz w:val="21"/>
                <w:szCs w:val="21"/>
                <w:lang w:val="en-US" w:eastAsia="zh-CN" w:bidi="ar"/>
              </w:rPr>
              <w:t>报考证书</w:t>
            </w:r>
          </w:p>
        </w:tc>
        <w:tc>
          <w:tcPr>
            <w:tcW w:w="15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C0C0C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Style w:val="12"/>
                <w:rFonts w:hint="eastAsia" w:ascii="仿宋_GB2312" w:hAnsi="仿宋_GB2312" w:eastAsia="仿宋_GB2312" w:cs="仿宋_GB2312"/>
                <w:sz w:val="21"/>
                <w:szCs w:val="21"/>
                <w:lang w:val="en-US" w:eastAsia="zh-CN" w:bidi="ar"/>
              </w:rPr>
              <w:t>*</w:t>
            </w:r>
            <w:r>
              <w:rPr>
                <w:rStyle w:val="13"/>
                <w:rFonts w:hint="eastAsia" w:ascii="仿宋_GB2312" w:hAnsi="仿宋_GB2312" w:eastAsia="仿宋_GB2312" w:cs="仿宋_GB2312"/>
                <w:sz w:val="21"/>
                <w:szCs w:val="21"/>
                <w:lang w:val="en-US" w:eastAsia="zh-CN" w:bidi="ar"/>
              </w:rPr>
              <w:t>证书等级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1530002006010020</w:t>
            </w:r>
          </w:p>
        </w:tc>
        <w:tc>
          <w:tcPr>
            <w:tcW w:w="3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电子商务数据分析职业技能等级证书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初级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1530002006020021</w:t>
            </w:r>
          </w:p>
        </w:tc>
        <w:tc>
          <w:tcPr>
            <w:tcW w:w="3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电子商务数据分析职业技能等级证书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中级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1530002006030022</w:t>
            </w:r>
          </w:p>
        </w:tc>
        <w:tc>
          <w:tcPr>
            <w:tcW w:w="3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电子商务数据分析职业技能等级证书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高级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1530045006010564</w:t>
            </w:r>
          </w:p>
        </w:tc>
        <w:tc>
          <w:tcPr>
            <w:tcW w:w="3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农产品电商运营职业技能等级证书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初级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" w:hRule="atLeast"/>
          <w:jc w:val="center"/>
        </w:trPr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1530045006020919</w:t>
            </w:r>
          </w:p>
        </w:tc>
        <w:tc>
          <w:tcPr>
            <w:tcW w:w="3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农产品电商运营职业技能等级证书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中级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" w:hRule="atLeast"/>
          <w:jc w:val="center"/>
        </w:trPr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1530045006031274</w:t>
            </w:r>
          </w:p>
        </w:tc>
        <w:tc>
          <w:tcPr>
            <w:tcW w:w="3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农产品电商运营职业技能等级证书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仿宋_GB2312" w:hAnsi="仿宋_GB2312" w:eastAsia="仿宋_GB2312" w:cs="仿宋_GB2312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高级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表格格式：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数据据实填写或下拉框选择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，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粘贴数据时切记不要改变原模板表格的格式。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val="en-US" w:eastAsia="zh-CN"/>
        </w:rPr>
        <w:t>3.已系统报考考生，请务必确保参加本次考试，否则系统按缺考处理（成绩为0分），年末可能影响省厅统计学校考试通过率。如确定不考试务必在报名结束前删除报考数据。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default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校对提醒：学生报考信息是否完整无遗漏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选择按证书批量导入报考信息后，系统会生成实际报考人数的2倍记录，理论考试、实操考试各一条记录。如果不是2倍记录说明缺少部分信息，要一一核对清楚，</w:t>
      </w:r>
      <w:r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有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问题</w:t>
      </w:r>
      <w:r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请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及时修正，报考时间结束后，所有报考数据将不能编辑或删除了，</w:t>
      </w:r>
      <w:r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已报考但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未参加考试的学生，系统会默认为“缺考”状态，所以新增或删除考生数，请务必在报考结束前进行。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12" w:lineRule="auto"/>
        <w:ind w:firstLine="562" w:firstLineChars="200"/>
        <w:textAlignment w:val="auto"/>
        <w:outlineLvl w:val="0"/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  <w:t>第四步：设置考场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考务</w:t>
      </w:r>
      <w:r>
        <w:rPr>
          <w:rFonts w:hint="eastAsia" w:ascii="仿宋_GB2312" w:hAnsi="仿宋_GB2312" w:eastAsia="仿宋_GB2312" w:cs="仿宋_GB2312"/>
          <w:sz w:val="24"/>
          <w:szCs w:val="24"/>
        </w:rPr>
        <w:t>管理-考场管理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栏目，为对应考试计划设置考场，考场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数量、考场机位数</w:t>
      </w:r>
      <w:r>
        <w:rPr>
          <w:rFonts w:hint="eastAsia" w:ascii="仿宋_GB2312" w:hAnsi="仿宋_GB2312" w:eastAsia="仿宋_GB2312" w:cs="仿宋_GB2312"/>
          <w:sz w:val="24"/>
          <w:szCs w:val="24"/>
        </w:rPr>
        <w:t>要和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本次</w:t>
      </w:r>
      <w:r>
        <w:rPr>
          <w:rFonts w:hint="eastAsia" w:ascii="仿宋_GB2312" w:hAnsi="仿宋_GB2312" w:eastAsia="仿宋_GB2312" w:cs="仿宋_GB2312"/>
          <w:sz w:val="24"/>
          <w:szCs w:val="24"/>
        </w:rPr>
        <w:t>计划考生人数相匹配，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考点院校要</w:t>
      </w:r>
      <w:r>
        <w:rPr>
          <w:rFonts w:hint="eastAsia" w:ascii="仿宋_GB2312" w:hAnsi="仿宋_GB2312" w:eastAsia="仿宋_GB2312" w:cs="仿宋_GB2312"/>
          <w:sz w:val="24"/>
          <w:szCs w:val="24"/>
        </w:rPr>
        <w:t>提前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协调好考场，确定每个考场容纳人数等。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</w:pPr>
      <w:r>
        <w:drawing>
          <wp:inline distT="0" distB="0" distL="114300" distR="114300">
            <wp:extent cx="6177280" cy="2143760"/>
            <wp:effectExtent l="0" t="0" r="13970" b="8890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214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3984625" cy="2553335"/>
            <wp:effectExtent l="0" t="0" r="15875" b="18415"/>
            <wp:docPr id="2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84625" cy="255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注意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事项（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容易出错地方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）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1.根据已报考的考试计划及报考人数，下拉框选择考试计划、站点名称、考试的证书。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考场名称：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考场指的是机房、教室或实训室，填写考场名称的时候尽量填写机房、教室、实训室的名字。例如：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【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10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7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室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】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；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【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13号机房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】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此类的命名。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当天考试用几个考试机房就设置几个考场，备用考场不在系统中设置。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考场座位数：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无论机房实际机位数有多少个，设置考场座位数必须与本次考试人数一致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例如：某考点报考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【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40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】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人，拟投入一个考场，考场座位数设置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【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40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】，和报考人数一致即可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；如果某考点报考 90 人，拟投入 2 个考场，那么考场应设置 2 个，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两个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考场座位数</w:t>
      </w:r>
      <w:r>
        <w:rPr>
          <w:rFonts w:hint="default" w:ascii="仿宋_GB2312" w:hAnsi="仿宋_GB2312" w:eastAsia="仿宋_GB2312" w:cs="仿宋_GB2312"/>
          <w:color w:val="FF0000"/>
          <w:sz w:val="24"/>
          <w:szCs w:val="24"/>
          <w:lang w:eastAsia="zh-CN"/>
        </w:rPr>
        <w:t>之和必须等于报考人数，否则无法排考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12" w:lineRule="auto"/>
        <w:ind w:firstLine="562" w:firstLineChars="200"/>
        <w:textAlignment w:val="auto"/>
        <w:outlineLvl w:val="0"/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  <w:t>第五步：反馈监考考务人员信息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如上四个报考步骤已完成且信息核对无误后，考点按照如下2个步骤完成教育部X证书平台中监考人员设置 和 考点考务人员</w:t>
      </w:r>
      <w:r>
        <w:rPr>
          <w:rFonts w:hint="default" w:ascii="仿宋_GB2312" w:hAnsi="仿宋_GB2312" w:eastAsia="仿宋_GB2312" w:cs="仿宋_GB2312"/>
          <w:sz w:val="24"/>
          <w:szCs w:val="24"/>
          <w:lang w:eastAsia="zh-CN"/>
        </w:rPr>
        <w:t>信息备案表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登记。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第1步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：在“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考务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管理-监考人员”模块，提交申报监考人员。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CN"/>
        </w:rPr>
      </w:pPr>
      <w:r>
        <w:drawing>
          <wp:inline distT="0" distB="0" distL="114300" distR="114300">
            <wp:extent cx="6184265" cy="2240280"/>
            <wp:effectExtent l="0" t="0" r="6985" b="7620"/>
            <wp:docPr id="2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第2步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：填写监考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考务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人员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信息报备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表（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每次考试都要提交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jc w:val="center"/>
        <w:textAlignment w:val="auto"/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highlight w:val="none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highlight w:val="none"/>
          <w:lang w:eastAsia="zh-CN"/>
        </w:rPr>
        <w:fldChar w:fldCharType="begin"/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highlight w:val="none"/>
          <w:lang w:eastAsia="zh-CN"/>
        </w:rPr>
        <w:instrText xml:space="preserve"> HYPERLINK "https://www.wjx.top/vm/w1QE5sv.aspx" </w:instrText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highlight w:val="none"/>
          <w:lang w:eastAsia="zh-CN"/>
        </w:rPr>
        <w:fldChar w:fldCharType="separate"/>
      </w:r>
      <w:r>
        <w:rPr>
          <w:rStyle w:val="10"/>
          <w:rFonts w:hint="eastAsia" w:ascii="仿宋_GB2312" w:hAnsi="仿宋_GB2312" w:eastAsia="仿宋_GB2312" w:cs="仿宋_GB2312"/>
          <w:b w:val="0"/>
          <w:bCs w:val="0"/>
          <w:sz w:val="24"/>
          <w:szCs w:val="24"/>
          <w:highlight w:val="none"/>
          <w:lang w:eastAsia="zh-CN"/>
        </w:rPr>
        <w:t>https://www.wjx.top/vm/w1QE5sv.aspx#</w:t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highlight w:val="none"/>
          <w:lang w:eastAsia="zh-CN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jc w:val="center"/>
        <w:textAlignment w:val="auto"/>
        <w:rPr>
          <w:rFonts w:hint="eastAsia" w:ascii="仿宋_GB2312" w:hAnsi="仿宋_GB2312" w:eastAsia="仿宋_GB2312" w:cs="仿宋_GB2312"/>
          <w:b/>
          <w:bCs/>
          <w:sz w:val="24"/>
          <w:szCs w:val="24"/>
          <w:highlight w:val="none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sz w:val="24"/>
          <w:szCs w:val="24"/>
          <w:highlight w:val="none"/>
          <w:lang w:eastAsia="zh-CN"/>
        </w:rPr>
        <w:drawing>
          <wp:inline distT="0" distB="0" distL="114300" distR="114300">
            <wp:extent cx="1212215" cy="1212215"/>
            <wp:effectExtent l="0" t="0" r="6985" b="6985"/>
            <wp:docPr id="3" name="图片 3" descr="449e3e5d903914b29a0b7a3bdde0c0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49e3e5d903914b29a0b7a3bdde0c09c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212215" cy="121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在排考时间内，针对各考点考生报考数据和考场设置情况，我司会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根据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各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考点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提交信息报备表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依次完成平台监考人员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认证、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分配和考场编排工作，以及考后对接制作邮寄X证书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。（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信息报备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表一定按要求填写，否则我司无法进行监考人员认证、分配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及证书邮寄工作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注意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事项（监考人员设置原则）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1.设置原则：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各考场监考人员安排请按照《考核站点管理办法》中规定“监考人员不能为证书试点专业或考试学生的任课教师，建议实行不同院系间交叉安排监考人员。”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2.设置人数：</w:t>
      </w:r>
      <w:r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监考人员配置标准为每40名考生须配2名监考，一个考场监考人员不得低于2名；每增加20名考生即增加一名监考人员，参考如上标准监考人员设置如下：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</w:pPr>
      <w:r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考生0-60人——监考老师：2人；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</w:pPr>
      <w:r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考生60-80人——监考老师：3人；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</w:pPr>
      <w:r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考生80-100人——监考老师：4人；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default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考生100-120人——监考老师：5人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3.请务必在规定的排考时间内确定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监考人员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并完成如上操作步骤。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12" w:lineRule="auto"/>
        <w:ind w:firstLine="562" w:firstLineChars="200"/>
        <w:textAlignment w:val="auto"/>
        <w:outlineLvl w:val="0"/>
        <w:rPr>
          <w:rFonts w:hint="default" w:ascii="黑体" w:hAnsi="黑体" w:eastAsia="黑体" w:cs="黑体"/>
          <w:b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  <w:t>第六步：打印考试物料、布置考场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排考结束后，考点院校可以在“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考务</w:t>
      </w:r>
      <w:r>
        <w:rPr>
          <w:rFonts w:hint="eastAsia" w:ascii="仿宋_GB2312" w:hAnsi="仿宋_GB2312" w:eastAsia="仿宋_GB2312" w:cs="仿宋_GB2312"/>
          <w:sz w:val="24"/>
          <w:szCs w:val="24"/>
        </w:rPr>
        <w:t>管理-排考管理”栏目的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考场编排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页面，查看每个考场安排情况，点击考场安排记录后面的查看按钮即可查看考场编排明细，并可以下载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考生</w:t>
      </w:r>
      <w:r>
        <w:rPr>
          <w:rFonts w:hint="eastAsia" w:ascii="仿宋_GB2312" w:hAnsi="仿宋_GB2312" w:eastAsia="仿宋_GB2312" w:cs="仿宋_GB2312"/>
          <w:sz w:val="24"/>
          <w:szCs w:val="24"/>
        </w:rPr>
        <w:t>准考证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、</w:t>
      </w:r>
      <w:r>
        <w:rPr>
          <w:rFonts w:hint="eastAsia" w:ascii="仿宋_GB2312" w:hAnsi="仿宋_GB2312" w:eastAsia="仿宋_GB2312" w:cs="仿宋_GB2312"/>
          <w:sz w:val="24"/>
          <w:szCs w:val="24"/>
        </w:rPr>
        <w:t>考场签到表、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考场</w:t>
      </w:r>
      <w:r>
        <w:rPr>
          <w:rFonts w:hint="eastAsia" w:ascii="仿宋_GB2312" w:hAnsi="仿宋_GB2312" w:eastAsia="仿宋_GB2312" w:cs="仿宋_GB2312"/>
          <w:sz w:val="24"/>
          <w:szCs w:val="24"/>
        </w:rPr>
        <w:t>桌贴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、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考场门贴</w:t>
      </w:r>
      <w:r>
        <w:rPr>
          <w:rFonts w:hint="eastAsia" w:ascii="仿宋_GB2312" w:hAnsi="仿宋_GB2312" w:eastAsia="仿宋_GB2312" w:cs="仿宋_GB2312"/>
          <w:sz w:val="24"/>
          <w:szCs w:val="24"/>
        </w:rPr>
        <w:t>等信息。用于布置线下考场，组织考试。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3040" cy="2351405"/>
            <wp:effectExtent l="0" t="0" r="3810" b="10795"/>
            <wp:docPr id="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668645" cy="2092325"/>
            <wp:effectExtent l="0" t="0" r="8255" b="3175"/>
            <wp:docPr id="2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68645" cy="209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《考务工作执行手册》、《考试平台操作手册》及考场物料制作模板（涉及考试标识标牌、考务人员上岗证及工作表格等物料源文件），详见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fldChar w:fldCharType="begin"/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instrText xml:space="preserve"> HYPERLINK "http://x.ibodao.com/downloads" </w:instrTex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fldChar w:fldCharType="separate"/>
      </w:r>
      <w:r>
        <w:rPr>
          <w:rStyle w:val="11"/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http://x.ibodao.com/downloads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12" w:lineRule="auto"/>
        <w:ind w:firstLine="562" w:firstLineChars="200"/>
        <w:textAlignment w:val="auto"/>
        <w:outlineLvl w:val="0"/>
        <w:rPr>
          <w:rFonts w:hint="default" w:ascii="黑体" w:hAnsi="黑体" w:eastAsia="黑体" w:cs="黑体"/>
          <w:b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  <w:t>第七步：支付考试费用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考试院校按照报考人数，根据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各省厅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核定后的证书考核费用标准，于考试日期前7个工作日完成缴纳，具体缴费流程和方式请与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1+X办区域管家联系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如下表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说明：还未通过省厅费用核定的省份，考试院校可以按照全国通用考核费用标准（初级280元/人/次，中级290元/人/次，高级300元/人/次）向我司支付考核费用。也可先行组织学生报名考试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，待省厅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确定费用标准后向我司支付考核费用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我司银行收款账号信息如下：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账户名称：北京博导前程信息技术股份有限公司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开户机构：招商银行股份有限公司北京静安里支行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账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ab/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 xml:space="preserve">   号：110932402910202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行    号：308100005272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汇款说明：汇款时请备注“学校+考试时间+人数”。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12" w:lineRule="auto"/>
        <w:ind w:firstLine="562" w:firstLineChars="200"/>
        <w:textAlignment w:val="auto"/>
        <w:outlineLvl w:val="0"/>
        <w:rPr>
          <w:rFonts w:hint="default" w:ascii="黑体" w:hAnsi="黑体" w:eastAsia="黑体" w:cs="黑体"/>
          <w:b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  <w:t>第八步：考试平台安装及考试机房调试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报名结束后，我们会同步启动考点考试平台安装工作，各考点负责人需要按照《考核站点遴选建设标准》要求，提前准备好考试机房和确定考点技术对接人。我司会安排技术人员分别于各考点技术进行对接，远程安装部署考试平台，需要考点技术人员协助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注意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  <w:lang w:val="en-US" w:eastAsia="zh-CN"/>
        </w:rPr>
        <w:t>事项（协调对接机制）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  <w:szCs w:val="24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1.考试前、考试中，考点技术人员要确保尽职尽责，做好与我司技术人员对接工作。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2.考试平台安装完整后，各考点老师按照《考试平台操作手册（教师端》）组织考生进行模拟训练，提前熟悉考试平台操作和环境。操作有问题直接与我司对应技术人员沟通。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12" w:lineRule="auto"/>
        <w:ind w:firstLine="562" w:firstLineChars="200"/>
        <w:textAlignment w:val="auto"/>
        <w:outlineLvl w:val="0"/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  <w:t>第九步：考试当天组织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考试前一天，我司会将已安排的巡考员（或特派督导员）的联系方式给到各考点负责人，考点负责人须提前对接巡考员，告知其行车路线等信息。（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同时，我们也会将各考点联系人信息[问卷信息表中考试衔接人]给到巡考人员，请各考点联系人注意接听电话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考试当天，各考点负责人组织好监考员、机房技术员、后勤考务人员、卫生安保人员等，做好考试监考纪律维持、技术支持及考场突发事件现场处理等工作。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考试结束后，按照《考务工作执行手册》要求，完成考试过程资料上报等工作。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各考点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按照</w:t>
      </w:r>
      <w:r>
        <w:rPr>
          <w:rFonts w:hint="eastAsia" w:ascii="仿宋_GB2312" w:hAnsi="仿宋_GB2312" w:eastAsia="仿宋_GB2312" w:cs="仿宋_GB2312"/>
          <w:sz w:val="24"/>
          <w:szCs w:val="24"/>
        </w:rPr>
        <w:t>如上步骤及说明，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依次</w:t>
      </w:r>
      <w:r>
        <w:rPr>
          <w:rFonts w:hint="eastAsia" w:ascii="仿宋_GB2312" w:hAnsi="仿宋_GB2312" w:eastAsia="仿宋_GB2312" w:cs="仿宋_GB2312"/>
          <w:sz w:val="24"/>
          <w:szCs w:val="24"/>
        </w:rPr>
        <w:t>完成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系统</w:t>
      </w:r>
      <w:r>
        <w:rPr>
          <w:rFonts w:hint="eastAsia" w:ascii="仿宋_GB2312" w:hAnsi="仿宋_GB2312" w:eastAsia="仿宋_GB2312" w:cs="仿宋_GB2312"/>
          <w:sz w:val="24"/>
          <w:szCs w:val="24"/>
        </w:rPr>
        <w:t>报考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、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缴费、考前筹备及考试组织工作</w:t>
      </w:r>
      <w:r>
        <w:rPr>
          <w:rFonts w:hint="eastAsia" w:ascii="仿宋_GB2312" w:hAnsi="仿宋_GB2312" w:eastAsia="仿宋_GB2312" w:cs="仿宋_GB2312"/>
          <w:sz w:val="24"/>
          <w:szCs w:val="24"/>
        </w:rPr>
        <w:t>。</w:t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lang w:val="en-US" w:eastAsia="zh-CN"/>
        </w:rPr>
        <w:t>如上系统报考操作步骤节选自教育部X证书平台</w:t>
      </w:r>
      <w:r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4"/>
          <w:szCs w:val="24"/>
        </w:rPr>
        <w:t>试点院校业务平台操作手册</w:t>
      </w:r>
      <w:r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  <w:t>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我司</w:t>
      </w:r>
      <w:r>
        <w:rPr>
          <w:rFonts w:hint="eastAsia" w:ascii="仿宋_GB2312" w:hAnsi="仿宋_GB2312" w:eastAsia="仿宋_GB2312" w:cs="仿宋_GB2312"/>
          <w:sz w:val="24"/>
          <w:szCs w:val="24"/>
        </w:rPr>
        <w:t>会按照</w:t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u w:val="single"/>
          <w:lang w:eastAsia="zh-CN"/>
        </w:rPr>
        <w:t>《关于做好2023上半年电子商务数据分析职业技能等级证书、农产品电商运营职业技能等级证书全国统考报名和相关工作的通知》（博导1+X办〔202</w:t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u w:val="single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u w:val="single"/>
          <w:lang w:eastAsia="zh-CN"/>
        </w:rPr>
        <w:t>〕</w:t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u w:val="single"/>
          <w:lang w:val="en-US" w:eastAsia="zh-CN"/>
        </w:rPr>
        <w:t>11</w:t>
      </w:r>
      <w:r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u w:val="single"/>
          <w:lang w:eastAsia="zh-CN"/>
        </w:rPr>
        <w:t>号）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</w:rPr>
        <w:t>时间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节点安排</w:t>
      </w:r>
      <w:r>
        <w:rPr>
          <w:rFonts w:hint="eastAsia" w:ascii="仿宋_GB2312" w:hAnsi="仿宋_GB2312" w:eastAsia="仿宋_GB2312" w:cs="仿宋_GB2312"/>
          <w:sz w:val="24"/>
          <w:szCs w:val="24"/>
        </w:rPr>
        <w:t>，在相应时间段内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启动</w:t>
      </w:r>
      <w:r>
        <w:rPr>
          <w:rFonts w:hint="eastAsia" w:ascii="仿宋_GB2312" w:hAnsi="仿宋_GB2312" w:eastAsia="仿宋_GB2312" w:cs="仿宋_GB2312"/>
          <w:sz w:val="24"/>
          <w:szCs w:val="24"/>
        </w:rPr>
        <w:t>相关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考务筹备及考试实施工作。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例如：组织考点考务技术人员培训、考试平台安装、正式考试前操作演练等</w:t>
      </w:r>
      <w:r>
        <w:rPr>
          <w:rFonts w:hint="eastAsia" w:ascii="仿宋_GB2312" w:hAnsi="仿宋_GB2312" w:eastAsia="仿宋_GB2312" w:cs="仿宋_GB2312"/>
          <w:sz w:val="24"/>
          <w:szCs w:val="24"/>
        </w:rPr>
        <w:t>工作，相关节点我们会有专人与各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考点</w:t>
      </w:r>
      <w:r>
        <w:rPr>
          <w:rFonts w:hint="eastAsia" w:ascii="仿宋_GB2312" w:hAnsi="仿宋_GB2312" w:eastAsia="仿宋_GB2312" w:cs="仿宋_GB2312"/>
          <w:sz w:val="24"/>
          <w:szCs w:val="24"/>
        </w:rPr>
        <w:t>院校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进行</w:t>
      </w:r>
      <w:r>
        <w:rPr>
          <w:rFonts w:hint="eastAsia" w:ascii="仿宋_GB2312" w:hAnsi="仿宋_GB2312" w:eastAsia="仿宋_GB2312" w:cs="仿宋_GB2312"/>
          <w:sz w:val="24"/>
          <w:szCs w:val="24"/>
        </w:rPr>
        <w:t>联络，对接下一步考前工作准备事宜。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报考咨询请致电13121210961、17789127307。考前考务对接、费用支付、发票及协议签订等事宜，请联系所属区域1+X专属管家：请联系我司如下负责人：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center"/>
        <w:textAlignment w:val="auto"/>
      </w:pPr>
      <w:r>
        <w:drawing>
          <wp:inline distT="0" distB="0" distL="114300" distR="114300">
            <wp:extent cx="4743450" cy="2703830"/>
            <wp:effectExtent l="0" t="0" r="0" b="127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27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82" w:firstLineChars="200"/>
        <w:textAlignment w:val="auto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eastAsia="zh-CN"/>
        </w:rPr>
        <w:t>！！！请各考点院校的考务负责人和机房技术人员添加所属区域</w:t>
      </w: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val="en-US" w:eastAsia="zh-CN"/>
        </w:rPr>
        <w:t>1+X</w:t>
      </w:r>
      <w:r>
        <w:rPr>
          <w:rFonts w:hint="eastAsia" w:ascii="仿宋_GB2312" w:hAnsi="仿宋_GB2312" w:eastAsia="仿宋_GB2312" w:cs="仿宋_GB2312"/>
          <w:b/>
          <w:bCs/>
          <w:color w:val="FF0000"/>
          <w:sz w:val="24"/>
          <w:szCs w:val="24"/>
          <w:lang w:eastAsia="zh-CN"/>
        </w:rPr>
        <w:t>管家微信，邀您加入对应场次考务微信群，方便考务对接！！！</w:t>
      </w:r>
    </w:p>
    <w:sectPr>
      <w:footerReference r:id="rId3" w:type="default"/>
      <w:pgSz w:w="11906" w:h="16838"/>
      <w:pgMar w:top="1270" w:right="1080" w:bottom="1270" w:left="108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- 1 -</w:t>
                          </w:r>
                          <w:r>
                            <w:fldChar w:fldCharType="end"/>
                          </w:r>
                          <w:r>
                            <w:t xml:space="preserve"> /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- 1 -</w:t>
                    </w:r>
                    <w:r>
                      <w:fldChar w:fldCharType="end"/>
                    </w:r>
                    <w:r>
                      <w:t xml:space="preserve"> /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7BB0CF5"/>
    <w:multiLevelType w:val="singleLevel"/>
    <w:tmpl w:val="D7BB0CF5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84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k0NTBhOWQ3OGRmZWQyMGFjMzIzYTJhZDc3NTdkNzYifQ=="/>
  </w:docVars>
  <w:rsids>
    <w:rsidRoot w:val="00000000"/>
    <w:rsid w:val="00594643"/>
    <w:rsid w:val="00B82E1C"/>
    <w:rsid w:val="00FD4C36"/>
    <w:rsid w:val="011F6EB6"/>
    <w:rsid w:val="01881540"/>
    <w:rsid w:val="01E21263"/>
    <w:rsid w:val="01E805DE"/>
    <w:rsid w:val="01EF267D"/>
    <w:rsid w:val="020372F9"/>
    <w:rsid w:val="031978D9"/>
    <w:rsid w:val="03D9123E"/>
    <w:rsid w:val="04E86B18"/>
    <w:rsid w:val="056903AD"/>
    <w:rsid w:val="05A97542"/>
    <w:rsid w:val="06E01D36"/>
    <w:rsid w:val="06EB68DF"/>
    <w:rsid w:val="06F83B93"/>
    <w:rsid w:val="076F3938"/>
    <w:rsid w:val="07A77E03"/>
    <w:rsid w:val="085D5E4A"/>
    <w:rsid w:val="08661951"/>
    <w:rsid w:val="08AC4725"/>
    <w:rsid w:val="08B2154F"/>
    <w:rsid w:val="08BA06D6"/>
    <w:rsid w:val="08F11C14"/>
    <w:rsid w:val="0925055B"/>
    <w:rsid w:val="0A6E052C"/>
    <w:rsid w:val="0B4F4A58"/>
    <w:rsid w:val="0B620FC0"/>
    <w:rsid w:val="0B872FA8"/>
    <w:rsid w:val="0BA3542D"/>
    <w:rsid w:val="0BF07DD8"/>
    <w:rsid w:val="0BFB2FD7"/>
    <w:rsid w:val="0C036B35"/>
    <w:rsid w:val="0C0C0DAB"/>
    <w:rsid w:val="0C371C73"/>
    <w:rsid w:val="0C52025E"/>
    <w:rsid w:val="0C6E3300"/>
    <w:rsid w:val="0C927769"/>
    <w:rsid w:val="0CF87ABF"/>
    <w:rsid w:val="0D43157E"/>
    <w:rsid w:val="0D6E66BD"/>
    <w:rsid w:val="0E305CB4"/>
    <w:rsid w:val="0F195D4F"/>
    <w:rsid w:val="0F362BD7"/>
    <w:rsid w:val="0F4A241F"/>
    <w:rsid w:val="0FB65D71"/>
    <w:rsid w:val="0FD924AA"/>
    <w:rsid w:val="0FEA4798"/>
    <w:rsid w:val="0FF31E11"/>
    <w:rsid w:val="10132FC7"/>
    <w:rsid w:val="104C70EE"/>
    <w:rsid w:val="109D46AC"/>
    <w:rsid w:val="109F62A4"/>
    <w:rsid w:val="10E35D73"/>
    <w:rsid w:val="10E55F08"/>
    <w:rsid w:val="114B76BE"/>
    <w:rsid w:val="11AA6B9F"/>
    <w:rsid w:val="123916C8"/>
    <w:rsid w:val="1242281F"/>
    <w:rsid w:val="12821990"/>
    <w:rsid w:val="12BF336F"/>
    <w:rsid w:val="13590DA8"/>
    <w:rsid w:val="136A2388"/>
    <w:rsid w:val="143A2D94"/>
    <w:rsid w:val="147C5E4C"/>
    <w:rsid w:val="14AF6953"/>
    <w:rsid w:val="14B6246D"/>
    <w:rsid w:val="14D317E3"/>
    <w:rsid w:val="14EF3217"/>
    <w:rsid w:val="159614DB"/>
    <w:rsid w:val="15C120B8"/>
    <w:rsid w:val="16040645"/>
    <w:rsid w:val="164E36BB"/>
    <w:rsid w:val="165F7EAE"/>
    <w:rsid w:val="170D2741"/>
    <w:rsid w:val="17723A73"/>
    <w:rsid w:val="1882441E"/>
    <w:rsid w:val="18897422"/>
    <w:rsid w:val="18A66065"/>
    <w:rsid w:val="18D149C4"/>
    <w:rsid w:val="191B13BB"/>
    <w:rsid w:val="196C07FE"/>
    <w:rsid w:val="19977200"/>
    <w:rsid w:val="199E60E0"/>
    <w:rsid w:val="199E6FFA"/>
    <w:rsid w:val="19E07DEB"/>
    <w:rsid w:val="19EA59B0"/>
    <w:rsid w:val="19F167F8"/>
    <w:rsid w:val="19F30EEB"/>
    <w:rsid w:val="1A0502C9"/>
    <w:rsid w:val="1A0A751C"/>
    <w:rsid w:val="1A3D3083"/>
    <w:rsid w:val="1A3D59BB"/>
    <w:rsid w:val="1A59036C"/>
    <w:rsid w:val="1AE16D4F"/>
    <w:rsid w:val="1AF91FC3"/>
    <w:rsid w:val="1B0C7D2F"/>
    <w:rsid w:val="1B1E35B9"/>
    <w:rsid w:val="1B6001E8"/>
    <w:rsid w:val="1BED667C"/>
    <w:rsid w:val="1E5210F8"/>
    <w:rsid w:val="1E535B3C"/>
    <w:rsid w:val="1E7F5762"/>
    <w:rsid w:val="1F9D5907"/>
    <w:rsid w:val="1FC9046E"/>
    <w:rsid w:val="1FD27B5A"/>
    <w:rsid w:val="1FE040B4"/>
    <w:rsid w:val="20716C4C"/>
    <w:rsid w:val="20A2274B"/>
    <w:rsid w:val="20C25599"/>
    <w:rsid w:val="210F02FE"/>
    <w:rsid w:val="21455E8D"/>
    <w:rsid w:val="215277DE"/>
    <w:rsid w:val="21AC36C4"/>
    <w:rsid w:val="21E63662"/>
    <w:rsid w:val="2237054F"/>
    <w:rsid w:val="22B47444"/>
    <w:rsid w:val="22D65E47"/>
    <w:rsid w:val="231A4330"/>
    <w:rsid w:val="23216CFD"/>
    <w:rsid w:val="233204F5"/>
    <w:rsid w:val="233F1EC1"/>
    <w:rsid w:val="23925EBB"/>
    <w:rsid w:val="239A7901"/>
    <w:rsid w:val="239B2F79"/>
    <w:rsid w:val="239D1513"/>
    <w:rsid w:val="23E35B15"/>
    <w:rsid w:val="241604C5"/>
    <w:rsid w:val="244D2129"/>
    <w:rsid w:val="24992066"/>
    <w:rsid w:val="249B5850"/>
    <w:rsid w:val="24C87AC1"/>
    <w:rsid w:val="24E72515"/>
    <w:rsid w:val="255F07F2"/>
    <w:rsid w:val="25BB1CA6"/>
    <w:rsid w:val="25D07D99"/>
    <w:rsid w:val="25FB7351"/>
    <w:rsid w:val="260A25FA"/>
    <w:rsid w:val="26CE51B5"/>
    <w:rsid w:val="27217048"/>
    <w:rsid w:val="27910EB2"/>
    <w:rsid w:val="27B67782"/>
    <w:rsid w:val="281C693A"/>
    <w:rsid w:val="28310072"/>
    <w:rsid w:val="28CE6B57"/>
    <w:rsid w:val="28EF31EE"/>
    <w:rsid w:val="2960605C"/>
    <w:rsid w:val="297C29AE"/>
    <w:rsid w:val="29A0376A"/>
    <w:rsid w:val="29A21970"/>
    <w:rsid w:val="2A48649B"/>
    <w:rsid w:val="2AA66711"/>
    <w:rsid w:val="2AC8497A"/>
    <w:rsid w:val="2B2350A5"/>
    <w:rsid w:val="2B6121FB"/>
    <w:rsid w:val="2BB53D18"/>
    <w:rsid w:val="2BF51D19"/>
    <w:rsid w:val="2BFD4F38"/>
    <w:rsid w:val="2CA818E3"/>
    <w:rsid w:val="2D187B2E"/>
    <w:rsid w:val="2D3F5CD6"/>
    <w:rsid w:val="2D625638"/>
    <w:rsid w:val="2D9F3344"/>
    <w:rsid w:val="2E0E7D6A"/>
    <w:rsid w:val="2E33681F"/>
    <w:rsid w:val="2E3507E9"/>
    <w:rsid w:val="2E450433"/>
    <w:rsid w:val="2EC60E73"/>
    <w:rsid w:val="2F64320E"/>
    <w:rsid w:val="2F8704CA"/>
    <w:rsid w:val="2FB1319A"/>
    <w:rsid w:val="2FC53E32"/>
    <w:rsid w:val="30440AFD"/>
    <w:rsid w:val="30FB542A"/>
    <w:rsid w:val="314225D5"/>
    <w:rsid w:val="318F7409"/>
    <w:rsid w:val="31D331B2"/>
    <w:rsid w:val="31D82240"/>
    <w:rsid w:val="31F91850"/>
    <w:rsid w:val="3255665B"/>
    <w:rsid w:val="32746ED7"/>
    <w:rsid w:val="327C1BA4"/>
    <w:rsid w:val="32884A0F"/>
    <w:rsid w:val="32A13678"/>
    <w:rsid w:val="32D6060D"/>
    <w:rsid w:val="33591D88"/>
    <w:rsid w:val="343474B1"/>
    <w:rsid w:val="34414A34"/>
    <w:rsid w:val="344C36B8"/>
    <w:rsid w:val="34AC08CC"/>
    <w:rsid w:val="34CB3A9C"/>
    <w:rsid w:val="350A1469"/>
    <w:rsid w:val="35254104"/>
    <w:rsid w:val="35BB7ED0"/>
    <w:rsid w:val="366607C0"/>
    <w:rsid w:val="36B14785"/>
    <w:rsid w:val="36E959A3"/>
    <w:rsid w:val="37623DC9"/>
    <w:rsid w:val="3777351D"/>
    <w:rsid w:val="37B63BB3"/>
    <w:rsid w:val="3803328A"/>
    <w:rsid w:val="382C4A0B"/>
    <w:rsid w:val="38390ED6"/>
    <w:rsid w:val="384E0271"/>
    <w:rsid w:val="39353962"/>
    <w:rsid w:val="393D84DB"/>
    <w:rsid w:val="39545811"/>
    <w:rsid w:val="39547AFE"/>
    <w:rsid w:val="39810F4F"/>
    <w:rsid w:val="39AC3437"/>
    <w:rsid w:val="3A7B4915"/>
    <w:rsid w:val="3A996D74"/>
    <w:rsid w:val="3AF606FF"/>
    <w:rsid w:val="3B2A7658"/>
    <w:rsid w:val="3B3B7ABA"/>
    <w:rsid w:val="3B664ACF"/>
    <w:rsid w:val="3BC06F89"/>
    <w:rsid w:val="3BD67D17"/>
    <w:rsid w:val="3BE97C9D"/>
    <w:rsid w:val="3C58696F"/>
    <w:rsid w:val="3C722EB0"/>
    <w:rsid w:val="3C7323D2"/>
    <w:rsid w:val="3C8D17F0"/>
    <w:rsid w:val="3CD413CE"/>
    <w:rsid w:val="3D184542"/>
    <w:rsid w:val="3E140760"/>
    <w:rsid w:val="3E185B73"/>
    <w:rsid w:val="3E2A0389"/>
    <w:rsid w:val="3E331C87"/>
    <w:rsid w:val="3E3439E3"/>
    <w:rsid w:val="3E4A74D7"/>
    <w:rsid w:val="3E5C587A"/>
    <w:rsid w:val="3E601BE0"/>
    <w:rsid w:val="3EBA7E5E"/>
    <w:rsid w:val="3EF53F04"/>
    <w:rsid w:val="3F06021C"/>
    <w:rsid w:val="3F53708D"/>
    <w:rsid w:val="3F73580E"/>
    <w:rsid w:val="3F89568A"/>
    <w:rsid w:val="3F8D0F52"/>
    <w:rsid w:val="3FA45105"/>
    <w:rsid w:val="40273D0A"/>
    <w:rsid w:val="40642868"/>
    <w:rsid w:val="40CB2561"/>
    <w:rsid w:val="40D70009"/>
    <w:rsid w:val="4167667F"/>
    <w:rsid w:val="417B7AA3"/>
    <w:rsid w:val="41AB7A94"/>
    <w:rsid w:val="424F05C4"/>
    <w:rsid w:val="42AC505B"/>
    <w:rsid w:val="42D501B7"/>
    <w:rsid w:val="42E627E9"/>
    <w:rsid w:val="43E017C6"/>
    <w:rsid w:val="442564B9"/>
    <w:rsid w:val="44BC0315"/>
    <w:rsid w:val="44EF4310"/>
    <w:rsid w:val="450240B0"/>
    <w:rsid w:val="45356EC9"/>
    <w:rsid w:val="45471574"/>
    <w:rsid w:val="45C31A18"/>
    <w:rsid w:val="45DD7344"/>
    <w:rsid w:val="46466214"/>
    <w:rsid w:val="46780E1B"/>
    <w:rsid w:val="46B85E27"/>
    <w:rsid w:val="46F75670"/>
    <w:rsid w:val="471217FC"/>
    <w:rsid w:val="47621DBE"/>
    <w:rsid w:val="47800F00"/>
    <w:rsid w:val="480A6052"/>
    <w:rsid w:val="48B74E99"/>
    <w:rsid w:val="48D83A06"/>
    <w:rsid w:val="49180740"/>
    <w:rsid w:val="491E11B1"/>
    <w:rsid w:val="4A0B45F0"/>
    <w:rsid w:val="4AD51AA4"/>
    <w:rsid w:val="4B0A5B88"/>
    <w:rsid w:val="4B210CA8"/>
    <w:rsid w:val="4BF244EE"/>
    <w:rsid w:val="4C1A7366"/>
    <w:rsid w:val="4C347BA6"/>
    <w:rsid w:val="4CA47D9B"/>
    <w:rsid w:val="4CA74FA5"/>
    <w:rsid w:val="4DF75059"/>
    <w:rsid w:val="4E8A6EE7"/>
    <w:rsid w:val="4ECC52D8"/>
    <w:rsid w:val="4ECC7CD3"/>
    <w:rsid w:val="4F492E96"/>
    <w:rsid w:val="4F665974"/>
    <w:rsid w:val="4FBA2B5B"/>
    <w:rsid w:val="4FC4140D"/>
    <w:rsid w:val="4FE93014"/>
    <w:rsid w:val="4FF20307"/>
    <w:rsid w:val="50342451"/>
    <w:rsid w:val="505F4D52"/>
    <w:rsid w:val="506D557F"/>
    <w:rsid w:val="508E5CC1"/>
    <w:rsid w:val="50F755E1"/>
    <w:rsid w:val="51323A2C"/>
    <w:rsid w:val="518C357C"/>
    <w:rsid w:val="51A60F32"/>
    <w:rsid w:val="51B155EE"/>
    <w:rsid w:val="51B32188"/>
    <w:rsid w:val="51EA0894"/>
    <w:rsid w:val="51F748FA"/>
    <w:rsid w:val="52261EB4"/>
    <w:rsid w:val="52267618"/>
    <w:rsid w:val="52672210"/>
    <w:rsid w:val="52780FB7"/>
    <w:rsid w:val="52DF4502"/>
    <w:rsid w:val="533B5C3E"/>
    <w:rsid w:val="535B60EC"/>
    <w:rsid w:val="538B2C13"/>
    <w:rsid w:val="538B6A72"/>
    <w:rsid w:val="53966D85"/>
    <w:rsid w:val="539B50DF"/>
    <w:rsid w:val="53BE1AFF"/>
    <w:rsid w:val="53E8390E"/>
    <w:rsid w:val="54DB006D"/>
    <w:rsid w:val="554E32F6"/>
    <w:rsid w:val="55AD35C1"/>
    <w:rsid w:val="56026324"/>
    <w:rsid w:val="56035A66"/>
    <w:rsid w:val="570E0887"/>
    <w:rsid w:val="573A3D3E"/>
    <w:rsid w:val="57500820"/>
    <w:rsid w:val="57620192"/>
    <w:rsid w:val="57990CE0"/>
    <w:rsid w:val="57A22533"/>
    <w:rsid w:val="582432B2"/>
    <w:rsid w:val="586014B5"/>
    <w:rsid w:val="58C16EDB"/>
    <w:rsid w:val="58DA67DA"/>
    <w:rsid w:val="58DF165A"/>
    <w:rsid w:val="58FA7FA8"/>
    <w:rsid w:val="59A22EC4"/>
    <w:rsid w:val="59A9090C"/>
    <w:rsid w:val="5A5401A7"/>
    <w:rsid w:val="5ACD0844"/>
    <w:rsid w:val="5AF21F69"/>
    <w:rsid w:val="5B827ABB"/>
    <w:rsid w:val="5B870E42"/>
    <w:rsid w:val="5BBF862A"/>
    <w:rsid w:val="5C0351D3"/>
    <w:rsid w:val="5C6F179E"/>
    <w:rsid w:val="5C94022C"/>
    <w:rsid w:val="5CB720CC"/>
    <w:rsid w:val="5D400E94"/>
    <w:rsid w:val="5D487806"/>
    <w:rsid w:val="5D72616D"/>
    <w:rsid w:val="5DB8268B"/>
    <w:rsid w:val="5DBB3C85"/>
    <w:rsid w:val="5EC24A2F"/>
    <w:rsid w:val="5F455345"/>
    <w:rsid w:val="5F9C7678"/>
    <w:rsid w:val="5FA01C03"/>
    <w:rsid w:val="605C4EB2"/>
    <w:rsid w:val="60CE3668"/>
    <w:rsid w:val="61952DC0"/>
    <w:rsid w:val="61A92257"/>
    <w:rsid w:val="61C64F84"/>
    <w:rsid w:val="62B45479"/>
    <w:rsid w:val="62EC2046"/>
    <w:rsid w:val="63031302"/>
    <w:rsid w:val="63162ACC"/>
    <w:rsid w:val="634A22E8"/>
    <w:rsid w:val="64713615"/>
    <w:rsid w:val="649A2DE1"/>
    <w:rsid w:val="64A40D59"/>
    <w:rsid w:val="651128C4"/>
    <w:rsid w:val="65123033"/>
    <w:rsid w:val="651D08E1"/>
    <w:rsid w:val="652C576F"/>
    <w:rsid w:val="65535ECD"/>
    <w:rsid w:val="65557376"/>
    <w:rsid w:val="65DA20D1"/>
    <w:rsid w:val="662C2B1E"/>
    <w:rsid w:val="66581B2A"/>
    <w:rsid w:val="66676179"/>
    <w:rsid w:val="670866A4"/>
    <w:rsid w:val="67200716"/>
    <w:rsid w:val="677636AD"/>
    <w:rsid w:val="677C0132"/>
    <w:rsid w:val="678E7211"/>
    <w:rsid w:val="687C7B2B"/>
    <w:rsid w:val="692D5AA5"/>
    <w:rsid w:val="69310012"/>
    <w:rsid w:val="6A207521"/>
    <w:rsid w:val="6A3435B2"/>
    <w:rsid w:val="6A353A2A"/>
    <w:rsid w:val="6A5E0DE9"/>
    <w:rsid w:val="6BA3621D"/>
    <w:rsid w:val="6BEE29A5"/>
    <w:rsid w:val="6C023E82"/>
    <w:rsid w:val="6C0820BC"/>
    <w:rsid w:val="6C1B6E74"/>
    <w:rsid w:val="6C952A3A"/>
    <w:rsid w:val="6CCE2280"/>
    <w:rsid w:val="6CD463FE"/>
    <w:rsid w:val="6D2147E5"/>
    <w:rsid w:val="6D31221E"/>
    <w:rsid w:val="6D8B552F"/>
    <w:rsid w:val="6DB72933"/>
    <w:rsid w:val="6DF2085E"/>
    <w:rsid w:val="6E166568"/>
    <w:rsid w:val="6E2E7E8E"/>
    <w:rsid w:val="6E4D6FB8"/>
    <w:rsid w:val="6E501D3A"/>
    <w:rsid w:val="6E707B36"/>
    <w:rsid w:val="6F1F22A0"/>
    <w:rsid w:val="6FBD3BBF"/>
    <w:rsid w:val="704B4E1A"/>
    <w:rsid w:val="70EF3DEA"/>
    <w:rsid w:val="70F93DA2"/>
    <w:rsid w:val="71067604"/>
    <w:rsid w:val="71656C69"/>
    <w:rsid w:val="71D83C70"/>
    <w:rsid w:val="71E60A7F"/>
    <w:rsid w:val="72382FC8"/>
    <w:rsid w:val="726120C3"/>
    <w:rsid w:val="72730F38"/>
    <w:rsid w:val="72980AB7"/>
    <w:rsid w:val="72E15A68"/>
    <w:rsid w:val="72F17923"/>
    <w:rsid w:val="740679A5"/>
    <w:rsid w:val="74DE2FBD"/>
    <w:rsid w:val="753560EB"/>
    <w:rsid w:val="75882694"/>
    <w:rsid w:val="75E31EA6"/>
    <w:rsid w:val="765643D7"/>
    <w:rsid w:val="766D6F3E"/>
    <w:rsid w:val="76772AE0"/>
    <w:rsid w:val="76DC7F19"/>
    <w:rsid w:val="7776767B"/>
    <w:rsid w:val="77D322FB"/>
    <w:rsid w:val="77E16738"/>
    <w:rsid w:val="77E620A9"/>
    <w:rsid w:val="781D4C98"/>
    <w:rsid w:val="78340796"/>
    <w:rsid w:val="7849367C"/>
    <w:rsid w:val="79284C70"/>
    <w:rsid w:val="79771617"/>
    <w:rsid w:val="7995719D"/>
    <w:rsid w:val="79A84DA5"/>
    <w:rsid w:val="79B63DC2"/>
    <w:rsid w:val="7A2A1D1E"/>
    <w:rsid w:val="7AA0650B"/>
    <w:rsid w:val="7ABE05F1"/>
    <w:rsid w:val="7AE24CA4"/>
    <w:rsid w:val="7B2C0E27"/>
    <w:rsid w:val="7B615E9E"/>
    <w:rsid w:val="7B976B5A"/>
    <w:rsid w:val="7BCA427B"/>
    <w:rsid w:val="7BFC15CB"/>
    <w:rsid w:val="7BFD1A2D"/>
    <w:rsid w:val="7C403F36"/>
    <w:rsid w:val="7C6319B5"/>
    <w:rsid w:val="7C984A11"/>
    <w:rsid w:val="7CB1685A"/>
    <w:rsid w:val="7CD64AFC"/>
    <w:rsid w:val="7CF53B93"/>
    <w:rsid w:val="7D1666BD"/>
    <w:rsid w:val="7D9B7ED7"/>
    <w:rsid w:val="7DF979BB"/>
    <w:rsid w:val="7E201E4F"/>
    <w:rsid w:val="7E246E80"/>
    <w:rsid w:val="7EC3301A"/>
    <w:rsid w:val="7EF541F5"/>
    <w:rsid w:val="7F071A77"/>
    <w:rsid w:val="7F28593F"/>
    <w:rsid w:val="7F2A7305"/>
    <w:rsid w:val="7F2C666B"/>
    <w:rsid w:val="7F524279"/>
    <w:rsid w:val="7FEE1BF7"/>
    <w:rsid w:val="EFBB4F52"/>
    <w:rsid w:val="FB4F52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1"/>
    <w:pPr>
      <w:ind w:left="580"/>
      <w:outlineLvl w:val="2"/>
    </w:pPr>
    <w:rPr>
      <w:rFonts w:ascii="仿宋_GB2312" w:hAnsi="仿宋_GB2312" w:eastAsia="仿宋_GB2312" w:cs="仿宋_GB2312"/>
      <w:b/>
      <w:bCs/>
      <w:sz w:val="24"/>
      <w:szCs w:val="24"/>
      <w:lang w:val="zh-CN" w:eastAsia="zh-CN" w:bidi="zh-CN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qFormat/>
    <w:uiPriority w:val="0"/>
    <w:pPr>
      <w:ind w:firstLine="420" w:firstLineChars="200"/>
    </w:pPr>
  </w:style>
  <w:style w:type="paragraph" w:styleId="4">
    <w:name w:val="Body Text"/>
    <w:basedOn w:val="1"/>
    <w:qFormat/>
    <w:uiPriority w:val="1"/>
    <w:pPr>
      <w:ind w:left="100"/>
    </w:pPr>
    <w:rPr>
      <w:rFonts w:ascii="仿宋_GB2312" w:hAnsi="仿宋_GB2312" w:eastAsia="仿宋_GB2312" w:cs="仿宋_GB2312"/>
      <w:sz w:val="24"/>
      <w:szCs w:val="24"/>
      <w:lang w:val="zh-CN" w:eastAsia="zh-CN" w:bidi="zh-CN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0">
    <w:name w:val="FollowedHyperlink"/>
    <w:basedOn w:val="9"/>
    <w:qFormat/>
    <w:uiPriority w:val="0"/>
    <w:rPr>
      <w:color w:val="800080"/>
      <w:u w:val="single"/>
    </w:rPr>
  </w:style>
  <w:style w:type="character" w:styleId="11">
    <w:name w:val="Hyperlink"/>
    <w:basedOn w:val="9"/>
    <w:qFormat/>
    <w:uiPriority w:val="0"/>
    <w:rPr>
      <w:color w:val="0000FF"/>
      <w:u w:val="single"/>
    </w:rPr>
  </w:style>
  <w:style w:type="character" w:customStyle="1" w:styleId="12">
    <w:name w:val="font21"/>
    <w:basedOn w:val="9"/>
    <w:qFormat/>
    <w:uiPriority w:val="0"/>
    <w:rPr>
      <w:rFonts w:hint="eastAsia" w:ascii="宋体" w:hAnsi="宋体" w:eastAsia="宋体" w:cs="宋体"/>
      <w:color w:val="FF0000"/>
      <w:sz w:val="28"/>
      <w:szCs w:val="28"/>
      <w:u w:val="none"/>
    </w:rPr>
  </w:style>
  <w:style w:type="character" w:customStyle="1" w:styleId="13">
    <w:name w:val="font11"/>
    <w:basedOn w:val="9"/>
    <w:qFormat/>
    <w:uiPriority w:val="0"/>
    <w:rPr>
      <w:rFonts w:hint="eastAsia" w:ascii="宋体" w:hAnsi="宋体" w:eastAsia="宋体" w:cs="宋体"/>
      <w:b/>
      <w:bCs/>
      <w:color w:val="000000"/>
      <w:sz w:val="28"/>
      <w:szCs w:val="28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jpe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emf"/><Relationship Id="rId16" Type="http://schemas.openxmlformats.org/officeDocument/2006/relationships/oleObject" Target="embeddings/oleObject2.bin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emf"/><Relationship Id="rId10" Type="http://schemas.openxmlformats.org/officeDocument/2006/relationships/oleObject" Target="embeddings/oleObject1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9</Pages>
  <Words>3777</Words>
  <Characters>4038</Characters>
  <Lines>0</Lines>
  <Paragraphs>0</Paragraphs>
  <TotalTime>13</TotalTime>
  <ScaleCrop>false</ScaleCrop>
  <LinksUpToDate>false</LinksUpToDate>
  <CharactersWithSpaces>4067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2020-10-14T19:03:00Z</dcterms:created>
  <dc:creator>BD-B071</dc:creator>
  <cp:lastModifiedBy>LIKE</cp:lastModifiedBy>
  <dcterms:modified xsi:type="dcterms:W3CDTF">2023-04-06T09:09:09Z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DBFE2F130D3C49C28FCEF8529F64D5E4</vt:lpwstr>
  </property>
</Properties>
</file>