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3200" w:hanging="3213" w:hangingChars="1000"/>
        <w:jc w:val="left"/>
        <w:rPr>
          <w:rFonts w:hint="default" w:ascii="仿宋_GB2312" w:hAnsi="仿宋_GB2312" w:eastAsia="仿宋_GB2312" w:cs="仿宋_GB2312"/>
          <w:b w:val="0"/>
          <w:bCs/>
          <w:kern w:val="2"/>
          <w:sz w:val="32"/>
          <w:szCs w:val="28"/>
          <w:lang w:val="en-US" w:eastAsia="zh-CN" w:bidi="ar-SA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 w:val="0"/>
          <w:sz w:val="32"/>
          <w:szCs w:val="28"/>
        </w:rPr>
        <w:t>附件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28"/>
        </w:rPr>
        <w:t>：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8"/>
          <w:lang w:val="en-US" w:eastAsia="zh-CN" w:bidi="ar-SA"/>
        </w:rPr>
        <w:t xml:space="preserve"> 全断面隧道掘进机操作职业技能等级证书师资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8"/>
          <w:lang w:val="zh-CN" w:eastAsia="zh-CN" w:bidi="ar-SA"/>
        </w:rPr>
        <w:t>能力提升</w:t>
      </w:r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28"/>
          <w:lang w:val="en-US" w:eastAsia="zh-CN" w:bidi="ar-SA"/>
        </w:rPr>
        <w:t>培训班报名表</w:t>
      </w:r>
    </w:p>
    <w:bookmarkEnd w:id="0"/>
    <w:tbl>
      <w:tblPr>
        <w:tblStyle w:val="5"/>
        <w:tblpPr w:leftFromText="180" w:rightFromText="180" w:vertAnchor="text" w:horzAnchor="page" w:tblpX="644" w:tblpY="267"/>
        <w:tblOverlap w:val="never"/>
        <w:tblW w:w="111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03"/>
        <w:gridCol w:w="1073"/>
        <w:gridCol w:w="708"/>
        <w:gridCol w:w="1701"/>
        <w:gridCol w:w="1701"/>
        <w:gridCol w:w="1921"/>
        <w:gridCol w:w="1623"/>
        <w:gridCol w:w="1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序号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姓名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院系及职务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手机号码</w:t>
            </w:r>
          </w:p>
        </w:tc>
        <w:tc>
          <w:tcPr>
            <w:tcW w:w="19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电子邮箱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住宿标准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  <w:sz w:val="16"/>
                <w:szCs w:val="16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仿宋_GB2312" w:hAnsi="仿宋_GB2312" w:eastAsia="仿宋_GB2312"/>
                <w:b/>
                <w:bCs/>
                <w:sz w:val="16"/>
                <w:szCs w:val="16"/>
                <w:lang w:val="en-US" w:eastAsia="zh-CN"/>
              </w:rPr>
              <w:t>可预定或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default" w:ascii="仿宋_GB2312" w:hAns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sz w:val="16"/>
                <w:szCs w:val="16"/>
                <w:lang w:val="en-US" w:eastAsia="zh-CN"/>
              </w:rPr>
              <w:t>自行安排</w:t>
            </w:r>
            <w:r>
              <w:rPr>
                <w:rFonts w:hint="eastAsia" w:ascii="仿宋_GB2312" w:hAnsi="仿宋_GB2312" w:eastAsia="仿宋_GB2312"/>
                <w:b/>
                <w:bCs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lang w:val="en-US" w:eastAsia="zh-CN"/>
              </w:rPr>
              <w:t>预计抵达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default" w:ascii="仿宋_GB2312" w:hAnsi="仿宋_GB2312" w:eastAsia="仿宋_GB2312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77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ind w:lef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sz w:val="21"/>
                <w:szCs w:val="21"/>
                <w:lang w:val="en-US" w:bidi="ar-SA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ind w:firstLine="210" w:firstLineChars="100"/>
              <w:jc w:val="both"/>
              <w:textAlignment w:val="baseline"/>
              <w:rPr>
                <w:sz w:val="21"/>
                <w:szCs w:val="21"/>
                <w:lang w:val="en-US" w:bidi="ar-SA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单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sym w:font="Wingdings 2" w:char="00A3"/>
            </w:r>
            <w:r>
              <w:rPr>
                <w:rFonts w:hint="eastAsia"/>
                <w:sz w:val="21"/>
                <w:szCs w:val="21"/>
                <w:lang w:val="en-US" w:bidi="ar-SA"/>
              </w:rPr>
              <w:t xml:space="preserve"> 标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□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ind w:leftChars="0"/>
              <w:jc w:val="center"/>
              <w:textAlignment w:val="baseline"/>
              <w:rPr>
                <w:rFonts w:hint="default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单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 w:bidi="ar-SA"/>
              </w:rPr>
              <w:t xml:space="preserve"> 标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sym w:font="Wingdings 2" w:char="00A3"/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单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 w:bidi="ar-SA"/>
              </w:rPr>
              <w:t xml:space="preserve"> 标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□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单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 w:bidi="ar-SA"/>
              </w:rPr>
              <w:t xml:space="preserve"> 标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□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771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ind w:leftChars="0"/>
              <w:jc w:val="center"/>
              <w:textAlignment w:val="baseline"/>
              <w:rPr>
                <w:rFonts w:hint="eastAsia" w:ascii="宋体" w:hAnsi="宋体" w:eastAsia="宋体" w:cs="宋体"/>
                <w:b/>
                <w:bCs/>
                <w:sz w:val="20"/>
                <w:szCs w:val="20"/>
              </w:rPr>
            </w:pPr>
            <w:r>
              <w:rPr>
                <w:rFonts w:hint="eastAsia" w:cs="宋体"/>
                <w:b/>
                <w:bCs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921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ascii="华文中宋" w:hAnsi="华文中宋" w:eastAsia="华文中宋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bidi="ar-SA"/>
              </w:rPr>
              <w:t>单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  <w:lang w:val="en-US" w:bidi="ar-SA"/>
              </w:rPr>
              <w:t xml:space="preserve"> 标</w:t>
            </w:r>
            <w:r>
              <w:rPr>
                <w:rFonts w:hint="eastAsia" w:ascii="仿宋_GB2312" w:hAnsi="仿宋_GB2312" w:eastAsia="仿宋_GB2312"/>
                <w:sz w:val="21"/>
                <w:szCs w:val="21"/>
              </w:rPr>
              <w:t>□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/>
                <w:sz w:val="21"/>
                <w:szCs w:val="21"/>
                <w:lang w:val="en-U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844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发票类型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lang w:val="en-US"/>
              </w:rPr>
            </w:pPr>
            <w:r>
              <w:rPr>
                <w:rFonts w:hint="eastAsia" w:ascii="仿宋_GB2312" w:hAnsi="仿宋_GB2312" w:eastAsia="仿宋_GB2312"/>
              </w:rPr>
              <w:t>增值税普通发票□         增值税专用发票□</w:t>
            </w: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发票信息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单位名称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纳税人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识别号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地址、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电话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开户行及账号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（发票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</w:rPr>
              <w:t>备注）</w:t>
            </w:r>
          </w:p>
        </w:tc>
        <w:tc>
          <w:tcPr>
            <w:tcW w:w="7654" w:type="dxa"/>
            <w:gridSpan w:val="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  <w:tc>
          <w:tcPr>
            <w:tcW w:w="162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9498" w:type="dxa"/>
            <w:gridSpan w:val="8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</w:rPr>
            </w:pPr>
            <w:r>
              <w:rPr>
                <w:rFonts w:hint="eastAsia" w:ascii="仿宋_GB2312" w:hAnsi="仿宋_GB2312" w:eastAsia="仿宋_GB2312"/>
                <w:b/>
                <w:bCs/>
              </w:rPr>
              <w:t>（如有发票抬头信息图片可粘于此处）</w:t>
            </w:r>
            <w:r>
              <w:rPr>
                <w:rFonts w:hint="eastAsia" w:ascii="仿宋_GB2312" w:hAnsi="仿宋_GB2312" w:eastAsia="仿宋_GB2312"/>
              </w:rPr>
              <w:t>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both"/>
              <w:textAlignment w:val="baseline"/>
              <w:rPr>
                <w:rFonts w:hint="eastAsia" w:ascii="仿宋_GB2312" w:hAnsi="仿宋_GB2312" w:eastAsia="仿宋_GB2312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lang w:val="en-US"/>
              </w:rPr>
            </w:pP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lang w:val="en-US"/>
              </w:rPr>
            </w:pPr>
          </w:p>
        </w:tc>
        <w:tc>
          <w:tcPr>
            <w:tcW w:w="1623" w:type="dxa"/>
            <w:noWrap w:val="0"/>
            <w:vAlign w:val="top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500" w:lineRule="exact"/>
              <w:jc w:val="center"/>
              <w:textAlignment w:val="baseline"/>
              <w:rPr>
                <w:rFonts w:hint="eastAsia" w:ascii="仿宋_GB2312" w:hAnsi="仿宋_GB2312" w:eastAsia="仿宋_GB2312"/>
                <w:lang w:val="en-US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 w:val="0"/>
        <w:spacing w:line="20" w:lineRule="exact"/>
        <w:jc w:val="left"/>
        <w:textAlignment w:val="baseline"/>
        <w:rPr>
          <w:rFonts w:hint="eastAsia" w:ascii="仿宋_GB2312" w:hAnsi="仿宋_GB2312" w:eastAsia="仿宋_GB2312"/>
          <w:sz w:val="28"/>
          <w:szCs w:val="28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5180965</wp:posOffset>
              </wp:positionH>
              <wp:positionV relativeFrom="paragraph">
                <wp:posOffset>-99060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07.95pt;margin-top:-7.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1GETTNgAAAAMAQAADwAAAAAAAAABACAAAAAiAAAAZHJzL2Rv&#10;d25yZXYueG1sUEsBAhQAFAAAAAgAh07iQOSi/s/IAQAAmQMAAA4AAAAAAAAAAQAgAAAAJwEAAGRy&#10;cy9lMm9Eb2MueG1sUEsFBgAAAAAGAAYAWQEAAGE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mMWRmNGQ0ZTA5ZjE2NDI2ZTc5MDc4YjVjMTVlYmEifQ=="/>
  </w:docVars>
  <w:rsids>
    <w:rsidRoot w:val="00000000"/>
    <w:rsid w:val="29582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2023-05-18T06:13:39Z</dcterms:created>
  <dc:creator>24913</dc:creator>
  <cp:lastModifiedBy>24913</cp:lastModifiedBy>
  <dcterms:modified xsi:type="dcterms:W3CDTF">2023-05-18T06:13:49Z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C1F8EED35884432491035AF38C80C98B_12</vt:lpwstr>
  </property>
</Properties>
</file>